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E" w:rsidRPr="0030320A" w:rsidRDefault="0008524E" w:rsidP="00085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</w:t>
      </w:r>
      <w:r w:rsidR="00230FB7">
        <w:rPr>
          <w:rFonts w:ascii="Times New Roman" w:hAnsi="Times New Roman" w:cs="Times New Roman"/>
          <w:sz w:val="28"/>
          <w:szCs w:val="28"/>
        </w:rPr>
        <w:t>, конспектируют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 дополнительной литературы, представленного в соответствующем раздел</w:t>
      </w:r>
      <w:r>
        <w:rPr>
          <w:rFonts w:ascii="Times New Roman" w:hAnsi="Times New Roman" w:cs="Times New Roman"/>
          <w:sz w:val="28"/>
          <w:szCs w:val="28"/>
        </w:rPr>
        <w:t xml:space="preserve">е рабочей программы,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30320A">
        <w:rPr>
          <w:rFonts w:ascii="Times New Roman" w:hAnsi="Times New Roman" w:cs="Times New Roman"/>
          <w:sz w:val="28"/>
          <w:szCs w:val="28"/>
        </w:rPr>
        <w:t>семестра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29292C" w:rsidRPr="0029292C">
        <w:rPr>
          <w:rFonts w:ascii="Times New Roman" w:hAnsi="Times New Roman" w:cs="Times New Roman"/>
          <w:sz w:val="28"/>
          <w:szCs w:val="28"/>
        </w:rPr>
        <w:t xml:space="preserve"> ДФО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 зачет, </w:t>
      </w:r>
      <w:r w:rsidRPr="0030320A">
        <w:rPr>
          <w:rFonts w:ascii="Times New Roman" w:hAnsi="Times New Roman" w:cs="Times New Roman"/>
          <w:sz w:val="28"/>
          <w:szCs w:val="28"/>
        </w:rPr>
        <w:t>выполняют и защищают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творческое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8524E" w:rsidRDefault="0008524E" w:rsidP="00CB7B9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97" w:rsidRPr="00A20A97" w:rsidRDefault="00A20A97" w:rsidP="00A20A97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A20A97" w:rsidRPr="00A20A97" w:rsidTr="00A20A97">
        <w:trPr>
          <w:trHeight w:val="976"/>
        </w:trPr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0A97" w:rsidRPr="00A20A97" w:rsidRDefault="00A20A97" w:rsidP="00A20A9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A20A97" w:rsidRPr="00A20A97" w:rsidRDefault="00A20A97" w:rsidP="00A20A9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и престиж продюсера как основа руководства. 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 и творчество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Паблик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 (PR) и его средства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Стратегия рекламной кампании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Особенности выбора названия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«Черный» PR в карьере артиста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Жизненный цикл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Фандрайзинг и краудфандинг в музыкальном бизнесе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Авторские и смежные права как объект регулирования правоотношений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Договорная система в музыкальной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Легенда: критерии и технология создания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Бюджет видеоклипа.</w:t>
            </w:r>
            <w:r w:rsidRPr="00A20A97"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 появления видеоклипов. Художественно-эстетические особенности музыкальных видеоклипов. Монтаж музыкального клипа. Классификации музыкальных видеоклипов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Продюсер-руководитель проекта и компании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 xml:space="preserve">Типы продюсерских компаний и их 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оргструктура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Функции предпринимательства в шоу-индустрии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Роль рекламы и PR в музыкальном продюсировании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Хит-потенциал песни,</w:t>
            </w:r>
            <w:r w:rsidRPr="00A2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хит-</w:t>
            </w:r>
            <w:proofErr w:type="spellStart"/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Средства и методы эффективного управления шоу-проектами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09" w:type="dxa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934" w:type="dxa"/>
            <w:shd w:val="clear" w:color="auto" w:fill="auto"/>
          </w:tcPr>
          <w:p w:rsidR="00A20A97" w:rsidRPr="00A20A97" w:rsidRDefault="00A20A97" w:rsidP="00A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</w:rPr>
              <w:t>Бизнес-планирование музыкального проекта</w:t>
            </w:r>
          </w:p>
        </w:tc>
        <w:tc>
          <w:tcPr>
            <w:tcW w:w="1713" w:type="dxa"/>
          </w:tcPr>
          <w:p w:rsidR="00A20A97" w:rsidRPr="00A20A97" w:rsidRDefault="00A20A97" w:rsidP="00A2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0A97" w:rsidRPr="00A20A97" w:rsidTr="00A20A97">
        <w:tc>
          <w:tcPr>
            <w:tcW w:w="7643" w:type="dxa"/>
            <w:gridSpan w:val="2"/>
            <w:shd w:val="clear" w:color="auto" w:fill="auto"/>
          </w:tcPr>
          <w:p w:rsidR="00A20A97" w:rsidRPr="00A20A97" w:rsidRDefault="00A20A97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A20A97" w:rsidRPr="00A20A97" w:rsidRDefault="001704B6" w:rsidP="00A2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</w:tbl>
    <w:p w:rsidR="002B13BB" w:rsidRDefault="002B13BB"/>
    <w:p w:rsidR="009F40C9" w:rsidRPr="00A53DB1" w:rsidRDefault="009F40C9" w:rsidP="009F40C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0C9" w:rsidRPr="00A53DB1" w:rsidRDefault="009F40C9" w:rsidP="009F40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Менеджмент музыкальной деятельности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и шоу-бизнеса.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 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773E1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395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33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>творческое задание сдается студентами за одну неделю до начала летней зачетно-экзаменационной сессии 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0C9" w:rsidRPr="00A53DB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размер полей со всех сторон – 25 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>мм.,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 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. При необходимости текст работы сопровождается схемами </w:t>
      </w:r>
      <w:r w:rsidRPr="00A53DB1">
        <w:rPr>
          <w:rFonts w:ascii="Times New Roman" w:hAnsi="Times New Roman" w:cs="Times New Roman"/>
          <w:sz w:val="28"/>
          <w:szCs w:val="28"/>
        </w:rPr>
        <w:lastRenderedPageBreak/>
        <w:t>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9F40C9" w:rsidRPr="000D1441" w:rsidRDefault="009F40C9" w:rsidP="009F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2773E1">
        <w:rPr>
          <w:rFonts w:ascii="Times New Roman" w:hAnsi="Times New Roman" w:cs="Times New Roman"/>
          <w:sz w:val="28"/>
          <w:szCs w:val="28"/>
        </w:rPr>
        <w:t>восьмого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выполняют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0D144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44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</w:t>
      </w:r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СПб.: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.-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9F40C9" w:rsidRPr="006614E8" w:rsidRDefault="009F40C9" w:rsidP="009F40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6614E8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:</w:t>
      </w:r>
      <w:r w:rsidRPr="00661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9F40C9" w:rsidRPr="006614E8" w:rsidRDefault="009F40C9" w:rsidP="009F4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─ 268 с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6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9F40C9" w:rsidRPr="006614E8" w:rsidRDefault="009F40C9" w:rsidP="009F40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F40C9" w:rsidRPr="006614E8" w:rsidRDefault="009F40C9" w:rsidP="009F40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</w:t>
      </w:r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>сточники</w:t>
      </w:r>
      <w:proofErr w:type="gramEnd"/>
      <w:r w:rsidRPr="00661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9F40C9"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9F40C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9F40C9" w:rsidRPr="006614E8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7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lastRenderedPageBreak/>
        <w:t>http://www.book4read.ru/publitsistika/6181.php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14E8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«От тюрьмы до шоу один шаг».</w:t>
      </w:r>
      <w:r w:rsidRPr="006614E8">
        <w:rPr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0C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9F40C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F40C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9F40C9" w:rsidRPr="006614E8" w:rsidRDefault="0039533F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40C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9F40C9" w:rsidRPr="006614E8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0C9" w:rsidRPr="006614E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9F40C9" w:rsidRPr="006614E8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9F40C9" w:rsidRPr="006614E8" w:rsidRDefault="009F40C9" w:rsidP="009F40C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9F40C9" w:rsidRDefault="009F40C9"/>
    <w:sectPr w:rsidR="009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C"/>
    <w:rsid w:val="0008524E"/>
    <w:rsid w:val="001704B6"/>
    <w:rsid w:val="00230FB7"/>
    <w:rsid w:val="002773E1"/>
    <w:rsid w:val="0029292C"/>
    <w:rsid w:val="002B13BB"/>
    <w:rsid w:val="0039533F"/>
    <w:rsid w:val="007F055C"/>
    <w:rsid w:val="009F40C9"/>
    <w:rsid w:val="00A20A97"/>
    <w:rsid w:val="00B07F48"/>
    <w:rsid w:val="00C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D590-C064-42E5-BAD9-AD49838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kontakt.ru/articles/cat/masterclass/" TargetMode="External"/><Relationship Id="rId13" Type="http://schemas.openxmlformats.org/officeDocument/2006/relationships/hyperlink" Target="http://www.hse.ru/data/2011/02/22/1208880612/Book_Fundraising_Predvarit%20Tulchinsky_AVTORU.pdf" TargetMode="External"/><Relationship Id="rId18" Type="http://schemas.openxmlformats.org/officeDocument/2006/relationships/hyperlink" Target="http://bizkon.net/6132-kak-stat-uspeshnym-promouterom-koncertnyj-biznes-v.html" TargetMode="External"/><Relationship Id="rId26" Type="http://schemas.openxmlformats.org/officeDocument/2006/relationships/hyperlink" Target="http://www.advert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49199" TargetMode="External"/><Relationship Id="rId7" Type="http://schemas.openxmlformats.org/officeDocument/2006/relationships/hyperlink" Target="http://guru.global-project.ru/prigozhin/" TargetMode="External"/><Relationship Id="rId12" Type="http://schemas.openxmlformats.org/officeDocument/2006/relationships/hyperlink" Target="http://www.twirpx.com/file/288365/" TargetMode="External"/><Relationship Id="rId17" Type="http://schemas.openxmlformats.org/officeDocument/2006/relationships/hyperlink" Target="http://www.korneeva.net/index.php?req=link12" TargetMode="External"/><Relationship Id="rId25" Type="http://schemas.openxmlformats.org/officeDocument/2006/relationships/hyperlink" Target="http://www.labirint.ru/books/1067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neeva.net/index.php?req=link10" TargetMode="External"/><Relationship Id="rId20" Type="http://schemas.openxmlformats.org/officeDocument/2006/relationships/hyperlink" Target="http://lib.sibnet.ru/book/1729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opedia.org/6-17038.html" TargetMode="External"/><Relationship Id="rId11" Type="http://schemas.openxmlformats.org/officeDocument/2006/relationships/hyperlink" Target="http://mu-che.titla.info/?site=lexamusic25qox3ynzeit&amp;k=2" TargetMode="External"/><Relationship Id="rId24" Type="http://schemas.openxmlformats.org/officeDocument/2006/relationships/hyperlink" Target="http://window.edu.ru/resource/428/66428" TargetMode="External"/><Relationship Id="rId5" Type="http://schemas.openxmlformats.org/officeDocument/2006/relationships/hyperlink" Target="http://cultureworld.ru/" TargetMode="External"/><Relationship Id="rId15" Type="http://schemas.openxmlformats.org/officeDocument/2006/relationships/hyperlink" Target="http://wacademy.ru/news/intervyu-igorem-m-namakonovyim-dlya-startapyiru-/" TargetMode="External"/><Relationship Id="rId23" Type="http://schemas.openxmlformats.org/officeDocument/2006/relationships/hyperlink" Target="http://knighulka.ru/28480-masterstvo-prodyusera-kino-i-televideniya.htm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tracker.org/forum/viewtopic.php?t=3429061" TargetMode="External"/><Relationship Id="rId19" Type="http://schemas.openxmlformats.org/officeDocument/2006/relationships/hyperlink" Target="http://skachayknigu.ru/iznanka-shou-biznesa-lyusya-aleksee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rom.com/producer/producers.htm" TargetMode="External"/><Relationship Id="rId14" Type="http://schemas.openxmlformats.org/officeDocument/2006/relationships/hyperlink" Target="http://www.litmir.me/bd/?b=206386" TargetMode="External"/><Relationship Id="rId22" Type="http://schemas.openxmlformats.org/officeDocument/2006/relationships/hyperlink" Target="http://www.openbusiness.ru/html/produser.htm" TargetMode="External"/><Relationship Id="rId27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1580</Words>
  <Characters>9009</Characters>
  <Application>Microsoft Office Word</Application>
  <DocSecurity>0</DocSecurity>
  <Lines>75</Lines>
  <Paragraphs>21</Paragraphs>
  <ScaleCrop>false</ScaleCrop>
  <Company>home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11</cp:revision>
  <dcterms:created xsi:type="dcterms:W3CDTF">2015-12-20T07:54:00Z</dcterms:created>
  <dcterms:modified xsi:type="dcterms:W3CDTF">2015-12-20T15:55:00Z</dcterms:modified>
</cp:coreProperties>
</file>